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6613F2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206DA3">
        <w:rPr>
          <w:bCs/>
          <w:noProof w:val="0"/>
          <w:sz w:val="24"/>
          <w:szCs w:val="24"/>
        </w:rPr>
        <w:t>09760</w:t>
      </w:r>
    </w:p>
    <w:p w14:paraId="11776FA6" w14:textId="5B1553B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816CE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1C33">
        <w:rPr>
          <w:rFonts w:cs="Arial"/>
          <w:b/>
          <w:bCs/>
          <w:sz w:val="24"/>
          <w:lang w:eastAsia="ja-JP"/>
        </w:rPr>
        <w:t>8.</w:t>
      </w:r>
      <w:r w:rsidR="001D5138">
        <w:rPr>
          <w:rFonts w:cs="Arial"/>
          <w:b/>
          <w:bCs/>
          <w:sz w:val="24"/>
          <w:lang w:eastAsia="ja-JP"/>
        </w:rPr>
        <w:t>11</w:t>
      </w:r>
      <w:r w:rsidR="00C81C33">
        <w:rPr>
          <w:rFonts w:cs="Arial"/>
          <w:b/>
          <w:bCs/>
          <w:sz w:val="24"/>
          <w:lang w:eastAsia="ja-JP"/>
        </w:rPr>
        <w:t>.</w:t>
      </w:r>
      <w:r w:rsidR="001D5138">
        <w:rPr>
          <w:rFonts w:cs="Arial"/>
          <w:b/>
          <w:bCs/>
          <w:sz w:val="24"/>
          <w:lang w:eastAsia="ja-JP"/>
        </w:rPr>
        <w:t>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6E83F1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5138">
        <w:rPr>
          <w:rFonts w:ascii="Arial" w:hAnsi="Arial" w:cs="Arial"/>
          <w:b/>
          <w:bCs/>
          <w:sz w:val="24"/>
        </w:rPr>
        <w:t>Positioning integrity for Industrial IoT use cases</w:t>
      </w:r>
    </w:p>
    <w:p w14:paraId="1F147C23" w14:textId="2869A9B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D5138" w:rsidRPr="001D5138">
        <w:rPr>
          <w:rFonts w:ascii="Arial" w:hAnsi="Arial" w:cs="Arial"/>
          <w:b/>
          <w:bCs/>
          <w:sz w:val="24"/>
          <w:szCs w:val="24"/>
        </w:rPr>
        <w:t>FS_NR_pos_enh</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9310CDC" w14:textId="572F924E" w:rsidR="00E329A8" w:rsidRDefault="00E329A8" w:rsidP="00E329A8">
      <w:pPr>
        <w:jc w:val="both"/>
      </w:pPr>
      <w:r>
        <w:t>In RAN2 #111e, we have agreed that Automotive, Railway, and IIoT as the illustrative use cases for positioning integrity in this Rel-17 SI:</w:t>
      </w:r>
    </w:p>
    <w:p w14:paraId="39C71556" w14:textId="34926E58" w:rsidR="00E329A8" w:rsidRPr="00604FF3" w:rsidRDefault="00604FF3" w:rsidP="00AF3392">
      <w:pPr>
        <w:pStyle w:val="Doc-text2"/>
        <w:pBdr>
          <w:top w:val="single" w:sz="4" w:space="1" w:color="auto"/>
          <w:left w:val="single" w:sz="4" w:space="31" w:color="auto"/>
          <w:bottom w:val="single" w:sz="4" w:space="1" w:color="auto"/>
          <w:right w:val="single" w:sz="4" w:space="4" w:color="auto"/>
        </w:pBdr>
        <w:rPr>
          <w:b/>
          <w:bCs/>
        </w:rPr>
      </w:pPr>
      <w:r w:rsidRPr="00604FF3">
        <w:rPr>
          <w:b/>
          <w:bCs/>
        </w:rPr>
        <w:t xml:space="preserve">RAN2 #111e </w:t>
      </w:r>
      <w:r w:rsidR="00E329A8" w:rsidRPr="00604FF3">
        <w:rPr>
          <w:b/>
          <w:bCs/>
        </w:rPr>
        <w:t>Agreements:</w:t>
      </w:r>
    </w:p>
    <w:p w14:paraId="17E83C2B" w14:textId="26085446" w:rsidR="00E329A8" w:rsidRDefault="00E329A8" w:rsidP="00AF3392">
      <w:pPr>
        <w:pStyle w:val="Doc-text2"/>
        <w:pBdr>
          <w:top w:val="single" w:sz="4" w:space="1" w:color="auto"/>
          <w:left w:val="single" w:sz="4" w:space="31" w:color="auto"/>
          <w:bottom w:val="single" w:sz="4" w:space="1" w:color="auto"/>
          <w:right w:val="single" w:sz="4" w:space="4" w:color="auto"/>
        </w:pBdr>
      </w:pPr>
      <w:r>
        <w:t>……</w:t>
      </w:r>
    </w:p>
    <w:p w14:paraId="2895D0DB" w14:textId="77777777" w:rsidR="00E329A8" w:rsidRDefault="00E329A8" w:rsidP="00AF3392">
      <w:pPr>
        <w:pStyle w:val="Doc-text2"/>
        <w:pBdr>
          <w:top w:val="single" w:sz="4" w:space="1" w:color="auto"/>
          <w:left w:val="single" w:sz="4" w:space="31" w:color="auto"/>
          <w:bottom w:val="single" w:sz="4" w:space="1" w:color="auto"/>
          <w:right w:val="single" w:sz="4" w:space="4" w:color="auto"/>
        </w:pBdr>
      </w:pPr>
    </w:p>
    <w:p w14:paraId="4A3B4CB0" w14:textId="167A29B8" w:rsidR="00E329A8" w:rsidRDefault="00E329A8" w:rsidP="00AF3392">
      <w:pPr>
        <w:pStyle w:val="Doc-text2"/>
        <w:pBdr>
          <w:top w:val="single" w:sz="4" w:space="1" w:color="auto"/>
          <w:left w:val="single" w:sz="4" w:space="31" w:color="auto"/>
          <w:bottom w:val="single" w:sz="4" w:space="1" w:color="auto"/>
          <w:right w:val="single" w:sz="4" w:space="4" w:color="auto"/>
        </w:pBdr>
      </w:pPr>
      <w:r w:rsidRPr="00C64A5C">
        <w:t>5.</w:t>
      </w:r>
      <w:r w:rsidRPr="00C64A5C">
        <w:tab/>
      </w:r>
      <w:r w:rsidRPr="00E329A8">
        <w:rPr>
          <w:highlight w:val="yellow"/>
        </w:rPr>
        <w:t>Agree to study the Automotive, IIoT and Rail use cases as illustrative examples</w:t>
      </w:r>
      <w:r w:rsidRPr="00C64A5C">
        <w:t>.</w:t>
      </w:r>
    </w:p>
    <w:p w14:paraId="679F283F" w14:textId="0AD8131D" w:rsidR="00E329A8" w:rsidRDefault="00E329A8" w:rsidP="00AF3392">
      <w:pPr>
        <w:pStyle w:val="Doc-text2"/>
        <w:pBdr>
          <w:top w:val="single" w:sz="4" w:space="1" w:color="auto"/>
          <w:left w:val="single" w:sz="4" w:space="31" w:color="auto"/>
          <w:bottom w:val="single" w:sz="4" w:space="1" w:color="auto"/>
          <w:right w:val="single" w:sz="4" w:space="4" w:color="auto"/>
        </w:pBdr>
      </w:pPr>
      <w:r>
        <w:t>……</w:t>
      </w:r>
    </w:p>
    <w:p w14:paraId="0D998FD5" w14:textId="77777777" w:rsidR="00E329A8" w:rsidRDefault="00E329A8" w:rsidP="00E329A8">
      <w:pPr>
        <w:pStyle w:val="Doc-text2"/>
      </w:pPr>
    </w:p>
    <w:p w14:paraId="33C4446F" w14:textId="4143DA89" w:rsidR="00FD1EED" w:rsidRDefault="00E329A8" w:rsidP="00A209D6">
      <w:r>
        <w:t>However, in RAN #89, it was agreed to remove study of RAT-dependent positioning methods from the scope of this SI, and RAN2 should focus on the integrity issues relating to RAT-independent positioning methods</w:t>
      </w:r>
      <w:r w:rsidR="00604FF3">
        <w:t xml:space="preserve"> based on GNSS.</w:t>
      </w:r>
      <w:r w:rsidR="00E26BE4">
        <w:t xml:space="preserve"> The objectives in the revised SID [1] has been modified as:</w:t>
      </w:r>
    </w:p>
    <w:tbl>
      <w:tblPr>
        <w:tblStyle w:val="TableGrid"/>
        <w:tblW w:w="9214" w:type="dxa"/>
        <w:tblInd w:w="562" w:type="dxa"/>
        <w:tblLook w:val="04A0" w:firstRow="1" w:lastRow="0" w:firstColumn="1" w:lastColumn="0" w:noHBand="0" w:noVBand="1"/>
      </w:tblPr>
      <w:tblGrid>
        <w:gridCol w:w="9214"/>
      </w:tblGrid>
      <w:tr w:rsidR="00AF3392" w14:paraId="103A6910" w14:textId="77777777" w:rsidTr="00AF3392">
        <w:tc>
          <w:tcPr>
            <w:tcW w:w="9214" w:type="dxa"/>
          </w:tcPr>
          <w:p w14:paraId="51A5626A" w14:textId="0635985F" w:rsidR="00AF3392" w:rsidRPr="00AF3392" w:rsidRDefault="00AF3392" w:rsidP="00AF3392">
            <w:pPr>
              <w:overflowPunct w:val="0"/>
              <w:autoSpaceDE w:val="0"/>
              <w:autoSpaceDN w:val="0"/>
              <w:adjustRightInd w:val="0"/>
              <w:ind w:right="-99"/>
              <w:rPr>
                <w:rFonts w:ascii="Arial" w:eastAsia="Batang" w:hAnsi="Arial" w:cs="Arial"/>
                <w:b/>
                <w:lang w:eastAsia="zh-CN"/>
              </w:rPr>
            </w:pPr>
            <w:r w:rsidRPr="00AF3392">
              <w:rPr>
                <w:rFonts w:ascii="Arial" w:eastAsia="SimSun" w:hAnsi="Arial" w:cs="Arial"/>
                <w:b/>
                <w:bCs/>
                <w:lang w:val="en-US" w:eastAsia="ja-JP"/>
              </w:rPr>
              <w:t xml:space="preserve">RP-202094 - </w:t>
            </w:r>
            <w:r w:rsidRPr="00AF3392">
              <w:rPr>
                <w:rFonts w:ascii="Arial" w:eastAsia="Batang" w:hAnsi="Arial" w:cs="Arial"/>
                <w:b/>
                <w:lang w:eastAsia="zh-CN"/>
              </w:rPr>
              <w:t>Revised SID: Study on NR Positioning Enhancements</w:t>
            </w:r>
          </w:p>
          <w:p w14:paraId="2AED095B" w14:textId="02993946" w:rsidR="00AF3392" w:rsidRDefault="00AF3392" w:rsidP="00AF3392">
            <w:pPr>
              <w:overflowPunct w:val="0"/>
              <w:autoSpaceDE w:val="0"/>
              <w:autoSpaceDN w:val="0"/>
              <w:adjustRightInd w:val="0"/>
              <w:ind w:left="720" w:right="-99"/>
              <w:rPr>
                <w:rFonts w:eastAsia="SimSun"/>
                <w:lang w:val="en-US" w:eastAsia="ja-JP"/>
              </w:rPr>
            </w:pPr>
            <w:r>
              <w:rPr>
                <w:rFonts w:eastAsia="SimSun"/>
                <w:lang w:val="en-US" w:eastAsia="ja-JP"/>
              </w:rPr>
              <w:t>2. Study solutions necessary to support integrity and reliability of assistance data and position information: [RAN2]</w:t>
            </w:r>
          </w:p>
          <w:p w14:paraId="628CA3D9" w14:textId="77777777" w:rsidR="00AF3392" w:rsidRDefault="00AF3392" w:rsidP="00AF3392">
            <w:pPr>
              <w:numPr>
                <w:ilvl w:val="1"/>
                <w:numId w:val="11"/>
              </w:numPr>
              <w:overflowPunct w:val="0"/>
              <w:autoSpaceDE w:val="0"/>
              <w:autoSpaceDN w:val="0"/>
              <w:adjustRightInd w:val="0"/>
              <w:ind w:right="-99"/>
              <w:rPr>
                <w:rFonts w:eastAsia="SimSun"/>
                <w:lang w:eastAsia="ja-JP"/>
              </w:rPr>
            </w:pPr>
            <w:r>
              <w:rPr>
                <w:rFonts w:eastAsia="SimSun"/>
                <w:lang w:val="en-US" w:eastAsia="ja-JP"/>
              </w:rPr>
              <w:t>Identify positioning integrity KPIs and relevant use cases.</w:t>
            </w:r>
          </w:p>
          <w:p w14:paraId="4876BA16" w14:textId="77777777" w:rsidR="00AF3392" w:rsidRDefault="00AF3392" w:rsidP="00AF3392">
            <w:pPr>
              <w:numPr>
                <w:ilvl w:val="1"/>
                <w:numId w:val="11"/>
              </w:numPr>
              <w:overflowPunct w:val="0"/>
              <w:autoSpaceDE w:val="0"/>
              <w:autoSpaceDN w:val="0"/>
              <w:adjustRightInd w:val="0"/>
              <w:rPr>
                <w:rFonts w:eastAsia="SimSun"/>
                <w:lang w:val="en-US" w:eastAsia="ja-JP"/>
              </w:rPr>
            </w:pPr>
            <w:r>
              <w:rPr>
                <w:rFonts w:eastAsia="SimSun"/>
                <w:lang w:val="en-US" w:eastAsia="ja-JP"/>
              </w:rPr>
              <w:t xml:space="preserve">Identify the error sources, threat models, occurrence rates and failure modes requiring positioning integrity validation and reporting. </w:t>
            </w:r>
          </w:p>
          <w:p w14:paraId="0DCDBA4F" w14:textId="77777777" w:rsidR="00AF3392" w:rsidRDefault="00AF3392" w:rsidP="00AF3392">
            <w:pPr>
              <w:numPr>
                <w:ilvl w:val="1"/>
                <w:numId w:val="11"/>
              </w:numPr>
              <w:overflowPunct w:val="0"/>
              <w:autoSpaceDE w:val="0"/>
              <w:autoSpaceDN w:val="0"/>
              <w:adjustRightInd w:val="0"/>
              <w:ind w:right="-99"/>
              <w:rPr>
                <w:rFonts w:eastAsia="SimSun"/>
                <w:lang w:eastAsia="ja-JP"/>
              </w:rPr>
            </w:pPr>
            <w:r>
              <w:rPr>
                <w:rFonts w:eastAsia="SimSun"/>
                <w:lang w:val="en-US" w:eastAsia="ja-JP"/>
              </w:rPr>
              <w:t>Study methodologies for network-assisted and UE-assisted integrity.</w:t>
            </w:r>
          </w:p>
          <w:p w14:paraId="1D4C392E" w14:textId="6C2620DC" w:rsidR="00AF3392" w:rsidRPr="00AF3392" w:rsidRDefault="00AF3392" w:rsidP="00AF3392">
            <w:pPr>
              <w:ind w:left="1530" w:right="-99" w:hanging="990"/>
              <w:rPr>
                <w:rFonts w:eastAsia="SimSun"/>
                <w:lang w:eastAsia="ja-JP"/>
              </w:rPr>
            </w:pPr>
            <w:r>
              <w:rPr>
                <w:rFonts w:eastAsia="SimSun"/>
                <w:lang w:eastAsia="ja-JP"/>
              </w:rPr>
              <w:t>NOTE 4:</w:t>
            </w:r>
            <w:r>
              <w:rPr>
                <w:rFonts w:eastAsia="SimSun"/>
                <w:lang w:eastAsia="ja-JP"/>
              </w:rPr>
              <w:tab/>
            </w:r>
            <w:r w:rsidRPr="00AF3392">
              <w:rPr>
                <w:highlight w:val="yellow"/>
                <w:lang w:eastAsia="zh-CN"/>
              </w:rPr>
              <w:t>Objective 2 is applicable to GNSS positioning methods.</w:t>
            </w:r>
          </w:p>
        </w:tc>
      </w:tr>
    </w:tbl>
    <w:p w14:paraId="62C8E4A1" w14:textId="77777777" w:rsidR="00AF3392" w:rsidRDefault="00AF3392" w:rsidP="00FD1EED">
      <w:pPr>
        <w:jc w:val="both"/>
      </w:pPr>
    </w:p>
    <w:p w14:paraId="20953A1B" w14:textId="2133FEF6" w:rsidR="00604FF3" w:rsidRDefault="00604FF3" w:rsidP="00FD1EED">
      <w:pPr>
        <w:jc w:val="both"/>
      </w:pPr>
      <w:r>
        <w:t xml:space="preserve">Based on such change, </w:t>
      </w:r>
      <w:r w:rsidR="00FD1EED">
        <w:t xml:space="preserve">during the email discussion </w:t>
      </w:r>
      <w:r w:rsidR="00FD1EED" w:rsidRPr="00FD1EED">
        <w:rPr>
          <w:b/>
          <w:bCs/>
        </w:rPr>
        <w:t>[Post111-e][626]</w:t>
      </w:r>
      <w:r w:rsidR="00FD1EED">
        <w:t xml:space="preserve"> </w:t>
      </w:r>
      <w:r>
        <w:t>it was proposed that IIoT use case should be removed from the TR as IIoT applications are mainly operating in indoor environments, where GNSS-based RAT-independent positioning is not applicable. While at the first glance it sounds like a reasonable assumption, it could be a misconception. This paper aims to provide some information to justify outdoor scenarios for IIoT use cases, where GNSS-based RAT-independent positioning can still be applied.</w:t>
      </w:r>
    </w:p>
    <w:p w14:paraId="30F1B9C2" w14:textId="17AD253A" w:rsidR="005F16B4" w:rsidRPr="006E13D1" w:rsidRDefault="005F16B4" w:rsidP="005F16B4">
      <w:pPr>
        <w:pStyle w:val="Heading1"/>
      </w:pPr>
      <w:r>
        <w:t>2</w:t>
      </w:r>
      <w:r w:rsidRPr="006E13D1">
        <w:tab/>
      </w:r>
      <w:r>
        <w:t>Discussions</w:t>
      </w:r>
    </w:p>
    <w:p w14:paraId="152B9206" w14:textId="7932357A" w:rsidR="000F48BE" w:rsidRDefault="00FD1EED" w:rsidP="00FD1EED">
      <w:pPr>
        <w:jc w:val="both"/>
        <w:rPr>
          <w:rFonts w:eastAsia="SimSun"/>
        </w:rPr>
      </w:pPr>
      <w:r>
        <w:t xml:space="preserve">IIoT has been regarded as a key enabler for the fourth industrial revolution (also known as Industry 4.0), which targets to improve </w:t>
      </w:r>
      <w:r>
        <w:rPr>
          <w:rFonts w:eastAsia="SimSun"/>
        </w:rPr>
        <w:t>flexibility, versatility, resource efficiency, cost efficiency, worker support, and quality of industrial production and logistics. According to TR 22.804</w:t>
      </w:r>
      <w:r w:rsidR="00E26BE4">
        <w:rPr>
          <w:rFonts w:eastAsia="SimSun"/>
        </w:rPr>
        <w:t xml:space="preserve"> [2]</w:t>
      </w:r>
      <w:r>
        <w:rPr>
          <w:rFonts w:eastAsia="SimSun"/>
        </w:rPr>
        <w:t>, 3GPP has identified “</w:t>
      </w:r>
      <w:r w:rsidRPr="009C1E3C">
        <w:rPr>
          <w:rFonts w:eastAsia="SimSun"/>
          <w:i/>
          <w:iCs/>
        </w:rPr>
        <w:t>Factories of the Future</w:t>
      </w:r>
      <w:r>
        <w:rPr>
          <w:rFonts w:eastAsia="SimSun"/>
        </w:rPr>
        <w:t>” as a vertical that could be supported by 5G, and there are mainly five application areas as shown in Figure 1:</w:t>
      </w:r>
    </w:p>
    <w:p w14:paraId="0E2A89F8" w14:textId="77777777" w:rsidR="009C1E3C" w:rsidRDefault="00FD1EED" w:rsidP="009C1E3C">
      <w:pPr>
        <w:keepNext/>
        <w:jc w:val="center"/>
      </w:pPr>
      <w:r>
        <w:rPr>
          <w:noProof/>
        </w:rPr>
        <w:lastRenderedPageBreak/>
        <w:drawing>
          <wp:inline distT="0" distB="0" distL="0" distR="0" wp14:anchorId="6D371891" wp14:editId="0E1EE4DD">
            <wp:extent cx="1930400" cy="1644650"/>
            <wp:effectExtent l="0" t="0" r="0" b="0"/>
            <wp:docPr id="362" name="Picture 362"/>
            <wp:cNvGraphicFramePr/>
            <a:graphic xmlns:a="http://schemas.openxmlformats.org/drawingml/2006/main">
              <a:graphicData uri="http://schemas.openxmlformats.org/drawingml/2006/picture">
                <pic:pic xmlns:pic="http://schemas.openxmlformats.org/drawingml/2006/picture">
                  <pic:nvPicPr>
                    <pic:cNvPr id="362" name="Picture 362"/>
                    <pic:cNvPicPr/>
                  </pic:nvPicPr>
                  <pic:blipFill>
                    <a:blip r:embed="rId12" cstate="print"/>
                    <a:srcRect/>
                    <a:stretch>
                      <a:fillRect/>
                    </a:stretch>
                  </pic:blipFill>
                  <pic:spPr bwMode="auto">
                    <a:xfrm>
                      <a:off x="0" y="0"/>
                      <a:ext cx="1930400" cy="1644650"/>
                    </a:xfrm>
                    <a:prstGeom prst="rect">
                      <a:avLst/>
                    </a:prstGeom>
                    <a:noFill/>
                    <a:ln w="9525">
                      <a:noFill/>
                      <a:miter lim="800000"/>
                      <a:headEnd/>
                      <a:tailEnd/>
                    </a:ln>
                  </pic:spPr>
                </pic:pic>
              </a:graphicData>
            </a:graphic>
          </wp:inline>
        </w:drawing>
      </w:r>
    </w:p>
    <w:p w14:paraId="4411B410" w14:textId="4D6D794C" w:rsidR="00FD1EED" w:rsidRDefault="009C1E3C" w:rsidP="009C1E3C">
      <w:pPr>
        <w:pStyle w:val="Caption"/>
        <w:jc w:val="center"/>
        <w:rPr>
          <w:rFonts w:eastAsia="SimSun"/>
        </w:rPr>
      </w:pPr>
      <w:r>
        <w:t xml:space="preserve">Figure </w:t>
      </w:r>
      <w:fldSimple w:instr=" SEQ Figure \* ARABIC ">
        <w:r>
          <w:rPr>
            <w:noProof/>
          </w:rPr>
          <w:t>1</w:t>
        </w:r>
      </w:fldSimple>
      <w:r>
        <w:t xml:space="preserve"> </w:t>
      </w:r>
      <w:r>
        <w:rPr>
          <w:rFonts w:eastAsia="SimSun"/>
        </w:rPr>
        <w:t>Overview of the different application areas of the vertical "Factories of the Future" in TR 22.804</w:t>
      </w:r>
    </w:p>
    <w:p w14:paraId="56D6D1A9" w14:textId="22F79DB5" w:rsidR="002E01AF" w:rsidRDefault="009C1E3C" w:rsidP="00C176FB">
      <w:pPr>
        <w:jc w:val="both"/>
      </w:pPr>
      <w:r>
        <w:t xml:space="preserve">It is noted that for </w:t>
      </w:r>
      <w:r w:rsidR="002E01AF">
        <w:t xml:space="preserve">at least two of these applications </w:t>
      </w:r>
      <w:r w:rsidR="00C176FB">
        <w:t xml:space="preserve">(namely </w:t>
      </w:r>
      <w:r w:rsidR="00C176FB">
        <w:rPr>
          <w:rFonts w:eastAsia="SimSun"/>
        </w:rPr>
        <w:t>"logistics and warehousing" and "monitoring and maintenance"</w:t>
      </w:r>
      <w:r w:rsidR="00C176FB">
        <w:t xml:space="preserve">) </w:t>
      </w:r>
      <w:r w:rsidR="002E01AF">
        <w:t>could be deployed in outdoor. According to TR 22.804, we have the following descriptions:</w:t>
      </w:r>
    </w:p>
    <w:tbl>
      <w:tblPr>
        <w:tblStyle w:val="TableGrid"/>
        <w:tblW w:w="0" w:type="auto"/>
        <w:tblLook w:val="04A0" w:firstRow="1" w:lastRow="0" w:firstColumn="1" w:lastColumn="0" w:noHBand="0" w:noVBand="1"/>
      </w:tblPr>
      <w:tblGrid>
        <w:gridCol w:w="9631"/>
      </w:tblGrid>
      <w:tr w:rsidR="002E01AF" w14:paraId="49357571" w14:textId="77777777" w:rsidTr="002E01AF">
        <w:tc>
          <w:tcPr>
            <w:tcW w:w="9631" w:type="dxa"/>
          </w:tcPr>
          <w:p w14:paraId="2B48C740" w14:textId="087198A4" w:rsidR="002E01AF" w:rsidRPr="002E01AF" w:rsidRDefault="002E01AF" w:rsidP="002E01AF">
            <w:pPr>
              <w:pStyle w:val="Heading4"/>
              <w:rPr>
                <w:rFonts w:eastAsia="SimSun"/>
                <w:b/>
                <w:bCs/>
              </w:rPr>
            </w:pPr>
            <w:bookmarkStart w:id="0" w:name="_Toc45389721"/>
            <w:r w:rsidRPr="002E01AF">
              <w:rPr>
                <w:b/>
                <w:bCs/>
              </w:rPr>
              <w:t>TR 22.804 V16.3.0 (2020-07)</w:t>
            </w:r>
          </w:p>
          <w:p w14:paraId="5BFBD498" w14:textId="30BBAF81" w:rsidR="002E01AF" w:rsidRDefault="002E01AF" w:rsidP="002E01AF">
            <w:pPr>
              <w:pStyle w:val="Heading4"/>
              <w:rPr>
                <w:rFonts w:eastAsia="SimSun"/>
              </w:rPr>
            </w:pPr>
            <w:r>
              <w:rPr>
                <w:rFonts w:eastAsia="SimSun"/>
              </w:rPr>
              <w:t>5.3.1.3</w:t>
            </w:r>
            <w:r>
              <w:rPr>
                <w:rFonts w:eastAsia="SimSun"/>
              </w:rPr>
              <w:tab/>
              <w:t>Deployment aspects</w:t>
            </w:r>
            <w:bookmarkEnd w:id="0"/>
          </w:p>
          <w:p w14:paraId="4E6707B2" w14:textId="34D6664A" w:rsidR="002E01AF" w:rsidRDefault="002E01AF" w:rsidP="002E01AF">
            <w:pPr>
              <w:rPr>
                <w:rFonts w:eastAsia="SimSun"/>
              </w:rPr>
            </w:pPr>
            <w:r>
              <w:rPr>
                <w:rFonts w:eastAsia="SimSun"/>
              </w:rPr>
              <w:t>……</w:t>
            </w:r>
          </w:p>
          <w:p w14:paraId="619F11F3" w14:textId="77777777" w:rsidR="002E01AF" w:rsidRDefault="002E01AF" w:rsidP="002E01AF">
            <w:pPr>
              <w:rPr>
                <w:rFonts w:eastAsia="SimSun"/>
              </w:rPr>
            </w:pPr>
            <w:r>
              <w:rPr>
                <w:rFonts w:eastAsia="SimSun"/>
              </w:rPr>
              <w:t xml:space="preserve">The application area "logistics and warehousing" consists of the use cases "control-to-control" and "mobile robots". Communication service for logistics and warehousing meet very stringent requirements; and are limited to a </w:t>
            </w:r>
            <w:r w:rsidRPr="002E01AF">
              <w:rPr>
                <w:rFonts w:eastAsia="SimSun"/>
                <w:highlight w:val="yellow"/>
              </w:rPr>
              <w:t xml:space="preserve">local service area (both indoor and </w:t>
            </w:r>
            <w:r w:rsidRPr="002E01AF">
              <w:rPr>
                <w:rFonts w:eastAsia="SimSun"/>
                <w:highlight w:val="green"/>
              </w:rPr>
              <w:t>outdoor</w:t>
            </w:r>
            <w:r w:rsidRPr="002E01AF">
              <w:rPr>
                <w:rFonts w:eastAsia="SimSun"/>
                <w:highlight w:val="yellow"/>
              </w:rPr>
              <w:t>).</w:t>
            </w:r>
            <w:r>
              <w:rPr>
                <w:rFonts w:eastAsia="SimSun"/>
              </w:rPr>
              <w:t xml:space="preserve"> Interaction with the public network (e.g., service continuity, roaming) is required.</w:t>
            </w:r>
          </w:p>
          <w:p w14:paraId="0A17AC30" w14:textId="5F5768EF" w:rsidR="002E01AF" w:rsidRPr="00AF3392" w:rsidRDefault="002E01AF" w:rsidP="009C1E3C">
            <w:pPr>
              <w:rPr>
                <w:rFonts w:eastAsia="SimSun"/>
              </w:rPr>
            </w:pPr>
            <w:r>
              <w:rPr>
                <w:rFonts w:eastAsia="SimSun"/>
              </w:rPr>
              <w:t xml:space="preserve">The application area "monitoring and maintenance" consists of the use cases "massive wireless sensor networks" and "remote access and maintenance". Communication services for monitoring and maintenance meet stringent requirements; and are limited to </w:t>
            </w:r>
            <w:r w:rsidRPr="002E01AF">
              <w:rPr>
                <w:rFonts w:eastAsia="SimSun"/>
                <w:highlight w:val="yellow"/>
              </w:rPr>
              <w:t xml:space="preserve">a local service area (both indoor and </w:t>
            </w:r>
            <w:r w:rsidRPr="002E01AF">
              <w:rPr>
                <w:rFonts w:eastAsia="SimSun"/>
                <w:highlight w:val="green"/>
              </w:rPr>
              <w:t>outdoor</w:t>
            </w:r>
            <w:r w:rsidRPr="002E01AF">
              <w:rPr>
                <w:rFonts w:eastAsia="SimSun"/>
                <w:highlight w:val="yellow"/>
              </w:rPr>
              <w:t>).</w:t>
            </w:r>
            <w:r>
              <w:rPr>
                <w:rFonts w:eastAsia="SimSun"/>
              </w:rPr>
              <w:t xml:space="preserve"> Interaction with the public network (e.g., service continuity, roaming) is required.</w:t>
            </w:r>
          </w:p>
        </w:tc>
      </w:tr>
    </w:tbl>
    <w:p w14:paraId="6E8619E3" w14:textId="77777777" w:rsidR="002E01AF" w:rsidRDefault="002E01AF" w:rsidP="009C1E3C"/>
    <w:p w14:paraId="7BD33764" w14:textId="079354DE" w:rsidR="009C1E3C" w:rsidRDefault="002E01AF" w:rsidP="002E01AF">
      <w:pPr>
        <w:jc w:val="both"/>
      </w:pPr>
      <w:r>
        <w:t>Moreover, in another specification (TS 22.104), there are more descriptions about mobile robots (e.g. AGV such as forklift) for cyber-physical interactions in IIoT use cases. And it is explicitly mentioned that mobile robots could be used in either indoor or outdoor depending on the situation:</w:t>
      </w:r>
    </w:p>
    <w:tbl>
      <w:tblPr>
        <w:tblStyle w:val="TableGrid"/>
        <w:tblW w:w="0" w:type="auto"/>
        <w:tblLook w:val="04A0" w:firstRow="1" w:lastRow="0" w:firstColumn="1" w:lastColumn="0" w:noHBand="0" w:noVBand="1"/>
      </w:tblPr>
      <w:tblGrid>
        <w:gridCol w:w="9631"/>
      </w:tblGrid>
      <w:tr w:rsidR="002E01AF" w14:paraId="47AA43ED" w14:textId="77777777" w:rsidTr="002E01AF">
        <w:tc>
          <w:tcPr>
            <w:tcW w:w="9631" w:type="dxa"/>
          </w:tcPr>
          <w:p w14:paraId="19FE9292" w14:textId="2DC8D187" w:rsidR="00C176FB" w:rsidRPr="00C176FB" w:rsidRDefault="00C176FB" w:rsidP="00C176FB">
            <w:pPr>
              <w:pStyle w:val="Heading4"/>
              <w:rPr>
                <w:rFonts w:eastAsia="SimSun"/>
                <w:b/>
                <w:bCs/>
              </w:rPr>
            </w:pPr>
            <w:bookmarkStart w:id="1" w:name="_Toc45387365"/>
            <w:r w:rsidRPr="002E01AF">
              <w:rPr>
                <w:b/>
                <w:bCs/>
              </w:rPr>
              <w:t>T</w:t>
            </w:r>
            <w:r w:rsidR="005C2837">
              <w:rPr>
                <w:b/>
                <w:bCs/>
              </w:rPr>
              <w:t>S</w:t>
            </w:r>
            <w:r w:rsidRPr="002E01AF">
              <w:rPr>
                <w:b/>
                <w:bCs/>
              </w:rPr>
              <w:t xml:space="preserve"> 22.</w:t>
            </w:r>
            <w:r>
              <w:rPr>
                <w:b/>
                <w:bCs/>
              </w:rPr>
              <w:t>1</w:t>
            </w:r>
            <w:r w:rsidRPr="002E01AF">
              <w:rPr>
                <w:b/>
                <w:bCs/>
              </w:rPr>
              <w:t>04 V1</w:t>
            </w:r>
            <w:r>
              <w:rPr>
                <w:b/>
                <w:bCs/>
              </w:rPr>
              <w:t>7</w:t>
            </w:r>
            <w:r w:rsidRPr="002E01AF">
              <w:rPr>
                <w:b/>
                <w:bCs/>
              </w:rPr>
              <w:t>.</w:t>
            </w:r>
            <w:r>
              <w:rPr>
                <w:b/>
                <w:bCs/>
              </w:rPr>
              <w:t>4</w:t>
            </w:r>
            <w:r w:rsidRPr="002E01AF">
              <w:rPr>
                <w:b/>
                <w:bCs/>
              </w:rPr>
              <w:t>.0 (2020-0</w:t>
            </w:r>
            <w:r>
              <w:rPr>
                <w:b/>
                <w:bCs/>
              </w:rPr>
              <w:t>9</w:t>
            </w:r>
            <w:r w:rsidRPr="002E01AF">
              <w:rPr>
                <w:b/>
                <w:bCs/>
              </w:rPr>
              <w:t>)</w:t>
            </w:r>
          </w:p>
          <w:p w14:paraId="21ABBC23" w14:textId="6840D37F" w:rsidR="00C176FB" w:rsidRDefault="00C176FB" w:rsidP="00C176FB">
            <w:pPr>
              <w:pStyle w:val="Heading3"/>
            </w:pPr>
            <w:r>
              <w:t>A.2.2.3</w:t>
            </w:r>
            <w:r>
              <w:tab/>
              <w:t>Mobile robots</w:t>
            </w:r>
            <w:bookmarkEnd w:id="1"/>
          </w:p>
          <w:p w14:paraId="545D5737" w14:textId="77777777" w:rsidR="00C176FB" w:rsidRDefault="00C176FB" w:rsidP="00C176FB">
            <w:pPr>
              <w:rPr>
                <w:rFonts w:eastAsia="SimSun"/>
              </w:rPr>
            </w:pPr>
            <w:r w:rsidRPr="00C176FB">
              <w:rPr>
                <w:rFonts w:eastAsia="SimSun"/>
                <w:highlight w:val="yellow"/>
              </w:rPr>
              <w:t>Mobile robots and mobile platforms, such as automated guided vehicles, have numerous applications in industrial and intra-logistics environments and will play an increasingly important role in the Factory of the Future.</w:t>
            </w:r>
            <w:r>
              <w:rPr>
                <w:rFonts w:eastAsia="SimSun"/>
              </w:rPr>
              <w:t xml:space="preserve"> A mobile robot essentially is a programmable machine able to execute multiple operations, </w:t>
            </w:r>
            <w:r w:rsidRPr="00C17B3F">
              <w:rPr>
                <w:rFonts w:eastAsia="SimSun"/>
                <w:highlight w:val="yellow"/>
              </w:rPr>
              <w:t>following programmed paths</w:t>
            </w:r>
            <w:r>
              <w:rPr>
                <w:rFonts w:eastAsia="SimSun"/>
              </w:rPr>
              <w:t xml:space="preserve"> to fulfil a large variety of tasks. This means, a mobile robot can perform activities like assistance in work steps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2561B5D4" w14:textId="132C0A1B" w:rsidR="00C176FB" w:rsidRDefault="00AF3392" w:rsidP="00C176FB">
            <w:pPr>
              <w:rPr>
                <w:rFonts w:eastAsia="SimSun"/>
              </w:rPr>
            </w:pPr>
            <w:r>
              <w:rPr>
                <w:rFonts w:eastAsia="SimSun"/>
              </w:rPr>
              <w:t>……</w:t>
            </w:r>
          </w:p>
          <w:p w14:paraId="266339B9" w14:textId="1BFD9E9F" w:rsidR="002E01AF" w:rsidRPr="00C176FB" w:rsidRDefault="00C176FB" w:rsidP="00C176FB">
            <w:pPr>
              <w:rPr>
                <w:rFonts w:eastAsia="SimSun"/>
              </w:rPr>
            </w:pPr>
            <w:r w:rsidRPr="00C176FB">
              <w:rPr>
                <w:rFonts w:eastAsia="SimSun"/>
                <w:highlight w:val="yellow"/>
              </w:rPr>
              <w:t>Mobile robot systems can be divided in operation in indoor,</w:t>
            </w:r>
            <w:r w:rsidRPr="00C176FB">
              <w:rPr>
                <w:rFonts w:eastAsia="SimSun"/>
                <w:highlight w:val="green"/>
              </w:rPr>
              <w:t xml:space="preserve"> outdoor </w:t>
            </w:r>
            <w:r w:rsidRPr="00C176FB">
              <w:rPr>
                <w:rFonts w:eastAsia="SimSun"/>
                <w:highlight w:val="yellow"/>
              </w:rPr>
              <w:t xml:space="preserve">and both indoor and </w:t>
            </w:r>
            <w:r w:rsidRPr="00C176FB">
              <w:rPr>
                <w:rFonts w:eastAsia="SimSun"/>
                <w:highlight w:val="green"/>
              </w:rPr>
              <w:t xml:space="preserve">outdoor </w:t>
            </w:r>
            <w:r w:rsidRPr="00C176FB">
              <w:rPr>
                <w:rFonts w:eastAsia="SimSun"/>
                <w:highlight w:val="yellow"/>
              </w:rPr>
              <w:t>areas</w:t>
            </w:r>
            <w:r w:rsidRPr="00C176FB">
              <w:rPr>
                <w:rFonts w:eastAsia="SimSun"/>
              </w:rPr>
              <w:t xml:space="preserve">. </w:t>
            </w:r>
            <w:r>
              <w:rPr>
                <w:rFonts w:eastAsia="SimSun"/>
              </w:rPr>
              <w:t xml:space="preserve">These environmental conditions have an impact on the requirements of the communication system, e.g., the handover process, to guarantee the required cycle times. </w:t>
            </w:r>
          </w:p>
        </w:tc>
      </w:tr>
    </w:tbl>
    <w:p w14:paraId="3A2B7887" w14:textId="1069DEA1" w:rsidR="002E01AF" w:rsidRDefault="002E01AF" w:rsidP="002E01AF">
      <w:pPr>
        <w:jc w:val="both"/>
      </w:pPr>
    </w:p>
    <w:p w14:paraId="7C0370AA" w14:textId="66B48FFE" w:rsidR="009C1E3C" w:rsidRDefault="00C176FB" w:rsidP="00C176FB">
      <w:pPr>
        <w:jc w:val="both"/>
      </w:pPr>
      <w:r>
        <w:t>In addition to the examples that has been identified in 3GPP as provided above, it is worth highlighting that IIoT use cases are not limited to factory environments. We could also have the scenarios such as Harbour automation and Construction sites</w:t>
      </w:r>
      <w:r w:rsidR="005C2837">
        <w:t>, where positioning may be needed to control the cranes or to track the cargos</w:t>
      </w:r>
      <w:r>
        <w:t xml:space="preserve">. Clearly, these scenarios are typically </w:t>
      </w:r>
      <w:r>
        <w:lastRenderedPageBreak/>
        <w:t>outdoor, and GNSS-based RAT-independent positioning could be employed to provide location-based services for industrial purposes.</w:t>
      </w:r>
    </w:p>
    <w:p w14:paraId="5809BDEB" w14:textId="32219953" w:rsidR="00536FF3" w:rsidRPr="009C1E3C" w:rsidRDefault="00536FF3" w:rsidP="00536FF3">
      <w:pPr>
        <w:rPr>
          <w:b/>
          <w:bCs/>
        </w:rPr>
      </w:pPr>
      <w:r>
        <w:rPr>
          <w:b/>
          <w:bCs/>
        </w:rPr>
        <w:t>Observation:</w:t>
      </w:r>
      <w:r w:rsidRPr="009C1E3C">
        <w:rPr>
          <w:b/>
          <w:bCs/>
        </w:rPr>
        <w:t xml:space="preserve"> </w:t>
      </w:r>
      <w:r>
        <w:rPr>
          <w:b/>
          <w:bCs/>
        </w:rPr>
        <w:t>3GPP has identified IIoT use cases in the outdoor, where GNSS-based positioning is applicable.</w:t>
      </w:r>
    </w:p>
    <w:p w14:paraId="3F633AFB" w14:textId="77777777" w:rsidR="00536FF3" w:rsidRDefault="00536FF3" w:rsidP="00C176FB">
      <w:pPr>
        <w:jc w:val="both"/>
      </w:pPr>
    </w:p>
    <w:p w14:paraId="58EF72DF" w14:textId="5B1C6C82" w:rsidR="009C1E3C" w:rsidRDefault="009C1E3C" w:rsidP="009C1E3C">
      <w:pPr>
        <w:pStyle w:val="Heading2"/>
      </w:pPr>
      <w:r>
        <w:t>2</w:t>
      </w:r>
      <w:r w:rsidRPr="006E13D1">
        <w:t>.</w:t>
      </w:r>
      <w:r>
        <w:t>2</w:t>
      </w:r>
      <w:r w:rsidRPr="006E13D1">
        <w:tab/>
      </w:r>
      <w:r>
        <w:t>Positioning Integrity for IIoT</w:t>
      </w:r>
    </w:p>
    <w:p w14:paraId="2681B452" w14:textId="0638DB81" w:rsidR="009C1E3C" w:rsidRDefault="00B24BB5" w:rsidP="00B24BB5">
      <w:pPr>
        <w:jc w:val="both"/>
      </w:pPr>
      <w:r>
        <w:t>It is expected, mobile robots (or Automated Guided Vehicles (AGV)) will be used to convey goods and/or materials for industrial operations</w:t>
      </w:r>
      <w:r w:rsidR="00DF5387">
        <w:t xml:space="preserve"> such as logistics and warehousing</w:t>
      </w:r>
      <w:r>
        <w:t>, and this is indeed crucial to ensure these robots are traveling on the correct routes between the departure point and the</w:t>
      </w:r>
      <w:r w:rsidR="008968E9">
        <w:t>ir</w:t>
      </w:r>
      <w:r>
        <w:t xml:space="preserve"> destination</w:t>
      </w:r>
      <w:r w:rsidR="008968E9">
        <w:t>s</w:t>
      </w:r>
      <w:r>
        <w:t>. In particular, considering that the mobile robots may be handling certain hazardous materials and they may be surrounded by other industrial equipment, the motion controlling application (which is the LCS client) should ensure these mobile robots do not run into inappropriate places that put people/machines in the area at risk.</w:t>
      </w:r>
      <w:r w:rsidR="006674C8">
        <w:t xml:space="preserve"> </w:t>
      </w:r>
      <w:r w:rsidR="00812A6D">
        <w:t>According to TS 22.104</w:t>
      </w:r>
      <w:r w:rsidR="00E26BE4">
        <w:t xml:space="preserve"> [3]</w:t>
      </w:r>
      <w:r w:rsidR="00812A6D">
        <w:t>,</w:t>
      </w:r>
      <w:r w:rsidR="006674C8">
        <w:t xml:space="preserve"> IIoT use cases have cm-level positioning accuracy requirement</w:t>
      </w:r>
      <w:r w:rsidR="00812A6D">
        <w:t xml:space="preserve"> (e.g. logistics for manufacturing requires 20cm accuracy in both horizontal and vertical directions)</w:t>
      </w:r>
      <w:r w:rsidR="00A94027">
        <w:t xml:space="preserve">, </w:t>
      </w:r>
      <w:r w:rsidR="00812A6D">
        <w:t xml:space="preserve">so it is critical for </w:t>
      </w:r>
      <w:r w:rsidR="00A94027">
        <w:t>the IIoT applications to know the exact positions of the devices.</w:t>
      </w:r>
    </w:p>
    <w:p w14:paraId="0E3B589F" w14:textId="49074605" w:rsidR="00B24BB5" w:rsidRDefault="00812A6D" w:rsidP="00B24BB5">
      <w:pPr>
        <w:jc w:val="both"/>
      </w:pPr>
      <w:r>
        <w:t>To</w:t>
      </w:r>
      <w:r w:rsidR="006674C8">
        <w:t xml:space="preserve"> ensure that IIoT applications can track the mobile robots in a reliable and trustable manner, the availability of the positioning system should be retained. </w:t>
      </w:r>
      <w:r>
        <w:t>The p</w:t>
      </w:r>
      <w:r w:rsidR="00B24BB5">
        <w:t xml:space="preserve">ositioning integrity </w:t>
      </w:r>
      <w:r w:rsidR="006674C8">
        <w:t>framework could offer a way for IIoT applications to obtain reliable and trustable information relating to locations of these mobile robots</w:t>
      </w:r>
      <w:r w:rsidR="00E26BE4">
        <w:t>, and hence keeping the mobile robot in its path.</w:t>
      </w:r>
    </w:p>
    <w:p w14:paraId="5ECFFA1A" w14:textId="6C52589B" w:rsidR="00DF5387" w:rsidRPr="00DF5387" w:rsidRDefault="00E26BE4" w:rsidP="008968E9">
      <w:pPr>
        <w:jc w:val="both"/>
      </w:pPr>
      <w:r>
        <w:t>For the TR, we noticed that R2-20069</w:t>
      </w:r>
      <w:r w:rsidR="0099695B">
        <w:t>5</w:t>
      </w:r>
      <w:r>
        <w:t>4 [4] has already captured some text proposal with the same intention. Hence, we believe the text proposal in [4] could be used as a baseline, although the values of various positioning integrity metrics (e.g. AL, TIR, and TTA) may be FFS.</w:t>
      </w:r>
      <w:r w:rsidR="008968E9">
        <w:t xml:space="preserve"> </w:t>
      </w:r>
      <w:r w:rsidR="00DF5387">
        <w:t>Based on the discussion, positioning integrity seems to be beneficial to IIoT use cases. Thus, we propose this use case should be kept in the TR in spite of removal of RAT-dependent positioning methods.</w:t>
      </w:r>
    </w:p>
    <w:p w14:paraId="260C1B4A" w14:textId="397FA50C" w:rsidR="00DF5387" w:rsidRPr="009C1E3C" w:rsidRDefault="00DF5387" w:rsidP="00DF5387">
      <w:pPr>
        <w:rPr>
          <w:b/>
          <w:bCs/>
        </w:rPr>
      </w:pPr>
      <w:r w:rsidRPr="009C1E3C">
        <w:rPr>
          <w:b/>
          <w:bCs/>
        </w:rPr>
        <w:t xml:space="preserve">Proposal: </w:t>
      </w:r>
      <w:r>
        <w:rPr>
          <w:b/>
          <w:bCs/>
        </w:rPr>
        <w:t>IIoT Use Case should be kept in the TR as a part of positioning integrity study.</w:t>
      </w:r>
    </w:p>
    <w:p w14:paraId="4FF1D69B" w14:textId="77777777" w:rsidR="00DF5387" w:rsidRPr="009C1E3C" w:rsidRDefault="00DF5387" w:rsidP="00B24BB5">
      <w:pPr>
        <w:jc w:val="both"/>
      </w:pPr>
    </w:p>
    <w:p w14:paraId="79E58353" w14:textId="01854E05" w:rsidR="005F16B4" w:rsidRPr="006E13D1" w:rsidRDefault="005F16B4" w:rsidP="005F16B4">
      <w:pPr>
        <w:pStyle w:val="Heading1"/>
      </w:pPr>
      <w:r>
        <w:t>3</w:t>
      </w:r>
      <w:r w:rsidRPr="006E13D1">
        <w:tab/>
      </w:r>
      <w:r>
        <w:t>Conclusion</w:t>
      </w:r>
    </w:p>
    <w:p w14:paraId="1301A6A9" w14:textId="36B48CB6" w:rsidR="00E26BE4" w:rsidRPr="00E26BE4" w:rsidRDefault="00E26BE4" w:rsidP="005F16B4">
      <w:r>
        <w:t>In this paper, we have discussed whether IIoT use cases should be kept in the TR as integrity of RAT-dependent positioning methods are no longer in the scope. We have made the following observation and proposal:</w:t>
      </w:r>
    </w:p>
    <w:p w14:paraId="1D09062D" w14:textId="211DBF26" w:rsidR="00E26BE4" w:rsidRDefault="00E26BE4" w:rsidP="005F16B4">
      <w:pPr>
        <w:rPr>
          <w:b/>
          <w:bCs/>
        </w:rPr>
      </w:pPr>
      <w:r>
        <w:rPr>
          <w:b/>
          <w:bCs/>
        </w:rPr>
        <w:t>Observation:</w:t>
      </w:r>
      <w:r w:rsidRPr="009C1E3C">
        <w:rPr>
          <w:b/>
          <w:bCs/>
        </w:rPr>
        <w:t xml:space="preserve"> </w:t>
      </w:r>
      <w:r>
        <w:rPr>
          <w:b/>
          <w:bCs/>
        </w:rPr>
        <w:t>3GPP has identified IIoT use cases in the outdoor, where GNSS-based positioning is applicable.</w:t>
      </w:r>
    </w:p>
    <w:p w14:paraId="4D066EC3" w14:textId="4163643B" w:rsidR="009C1E3C" w:rsidRPr="009C1E3C" w:rsidRDefault="009C1E3C" w:rsidP="005F16B4">
      <w:pPr>
        <w:rPr>
          <w:b/>
          <w:bCs/>
        </w:rPr>
      </w:pPr>
      <w:r w:rsidRPr="009C1E3C">
        <w:rPr>
          <w:b/>
          <w:bCs/>
        </w:rPr>
        <w:t xml:space="preserve">Proposal: </w:t>
      </w:r>
      <w:r>
        <w:rPr>
          <w:b/>
          <w:bCs/>
        </w:rPr>
        <w:t xml:space="preserve">IIoT Use Case should be </w:t>
      </w:r>
      <w:r w:rsidR="00DF5387">
        <w:rPr>
          <w:b/>
          <w:bCs/>
        </w:rPr>
        <w:t>kept</w:t>
      </w:r>
      <w:r>
        <w:rPr>
          <w:b/>
          <w:bCs/>
        </w:rPr>
        <w:t xml:space="preserve"> in the TR as a part of positioning integrity study.</w:t>
      </w:r>
    </w:p>
    <w:p w14:paraId="382FF735" w14:textId="77777777" w:rsidR="005F16B4" w:rsidRDefault="005F16B4" w:rsidP="005F16B4"/>
    <w:p w14:paraId="4CD5E8C7" w14:textId="23AAAA59" w:rsidR="00E329A8" w:rsidRPr="006E13D1" w:rsidRDefault="00E26BE4" w:rsidP="00E329A8">
      <w:pPr>
        <w:pStyle w:val="Heading1"/>
      </w:pPr>
      <w:r>
        <w:t>References</w:t>
      </w:r>
    </w:p>
    <w:p w14:paraId="59665CFD" w14:textId="389DD2F3" w:rsidR="00E26BE4" w:rsidRDefault="00E26BE4" w:rsidP="005F16B4">
      <w:r>
        <w:t>[1]</w:t>
      </w:r>
      <w:r w:rsidR="0099695B">
        <w:t xml:space="preserve"> RP-202094, </w:t>
      </w:r>
      <w:r>
        <w:t xml:space="preserve"> </w:t>
      </w:r>
      <w:r w:rsidR="0099695B" w:rsidRPr="0099695B">
        <w:t>Revised SID: Study on NR Positioning Enhancements</w:t>
      </w:r>
      <w:r w:rsidR="0099695B">
        <w:t>, RAN#89e, Sept. 2020</w:t>
      </w:r>
    </w:p>
    <w:p w14:paraId="232B87D2" w14:textId="4814D0F3" w:rsidR="005F16B4" w:rsidRPr="00CD4C7B" w:rsidRDefault="0099695B" w:rsidP="005F16B4">
      <w:r>
        <w:t xml:space="preserve">[2] </w:t>
      </w:r>
      <w:r w:rsidR="00E26BE4">
        <w:t xml:space="preserve">TR 22.804, </w:t>
      </w:r>
      <w:r w:rsidR="00E26BE4" w:rsidRPr="00E26BE4">
        <w:t>Study on Communication for Automation in Vertical domains (CAV)</w:t>
      </w:r>
      <w:r w:rsidR="00E26BE4">
        <w:t xml:space="preserve"> V16.3.0.</w:t>
      </w:r>
    </w:p>
    <w:p w14:paraId="266D9327" w14:textId="003CAD68" w:rsidR="00E26BE4" w:rsidRDefault="00E26BE4" w:rsidP="00E26BE4">
      <w:r>
        <w:t>[</w:t>
      </w:r>
      <w:r w:rsidR="0099695B">
        <w:t>3</w:t>
      </w:r>
      <w:r>
        <w:t>] TS 22.104, Service requirements for cyber-physical control applications in vertical domains V17.4.0.</w:t>
      </w:r>
    </w:p>
    <w:p w14:paraId="72D46816" w14:textId="37E15764" w:rsidR="00E26BE4" w:rsidRPr="006E13D1" w:rsidRDefault="00E26BE4" w:rsidP="00E26BE4">
      <w:r>
        <w:t>[</w:t>
      </w:r>
      <w:r w:rsidR="0099695B">
        <w:t>4</w:t>
      </w:r>
      <w:r>
        <w:t xml:space="preserve">] </w:t>
      </w:r>
      <w:r w:rsidR="0099695B">
        <w:t xml:space="preserve">R2-2006954, </w:t>
      </w:r>
      <w:r w:rsidR="0099695B" w:rsidRPr="0099695B">
        <w:t>Positioning integrity KPIs and support for RAT dependent use cases</w:t>
      </w:r>
      <w:r w:rsidR="0099695B">
        <w:t xml:space="preserve">, </w:t>
      </w:r>
      <w:r w:rsidR="00B65CC3">
        <w:t xml:space="preserve">Ericsson, </w:t>
      </w:r>
      <w:bookmarkStart w:id="2" w:name="_GoBack"/>
      <w:bookmarkEnd w:id="2"/>
      <w:r w:rsidR="0099695B">
        <w:t>RAN2#111e, Aug. 2020.</w:t>
      </w:r>
    </w:p>
    <w:p w14:paraId="5806356A" w14:textId="77777777" w:rsidR="005F16B4" w:rsidRPr="00A209D6" w:rsidRDefault="005F16B4" w:rsidP="005F16B4"/>
    <w:p w14:paraId="0A4FDBD4" w14:textId="34B0F74F" w:rsidR="005F16B4" w:rsidRDefault="005F16B4" w:rsidP="005F16B4">
      <w:pPr>
        <w:jc w:val="both"/>
        <w:rPr>
          <w:rFonts w:eastAsia="minorBidi"/>
          <w:lang w:eastAsia="ko-KR"/>
        </w:rPr>
      </w:pPr>
    </w:p>
    <w:p w14:paraId="040C5A62" w14:textId="77777777" w:rsidR="005F16B4" w:rsidRPr="006E13D1" w:rsidRDefault="005F16B4" w:rsidP="005F16B4">
      <w:pPr>
        <w:jc w:val="both"/>
        <w:rPr>
          <w:noProof/>
        </w:rPr>
      </w:pPr>
    </w:p>
    <w:sectPr w:rsidR="005F16B4" w:rsidRPr="006E13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89DD6" w14:textId="77777777" w:rsidR="00CC7BB1" w:rsidRDefault="00CC7BB1">
      <w:r>
        <w:separator/>
      </w:r>
    </w:p>
  </w:endnote>
  <w:endnote w:type="continuationSeparator" w:id="0">
    <w:p w14:paraId="128895D9" w14:textId="77777777" w:rsidR="00CC7BB1" w:rsidRDefault="00CC7BB1">
      <w:r>
        <w:continuationSeparator/>
      </w:r>
    </w:p>
  </w:endnote>
  <w:endnote w:type="continuationNotice" w:id="1">
    <w:p w14:paraId="3FF43349" w14:textId="77777777" w:rsidR="00CC7BB1" w:rsidRDefault="00CC7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norBi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8F432" w14:textId="77777777" w:rsidR="00CC7BB1" w:rsidRDefault="00CC7BB1">
      <w:r>
        <w:separator/>
      </w:r>
    </w:p>
  </w:footnote>
  <w:footnote w:type="continuationSeparator" w:id="0">
    <w:p w14:paraId="43CA1C4B" w14:textId="77777777" w:rsidR="00CC7BB1" w:rsidRDefault="00CC7BB1">
      <w:r>
        <w:continuationSeparator/>
      </w:r>
    </w:p>
  </w:footnote>
  <w:footnote w:type="continuationNotice" w:id="1">
    <w:p w14:paraId="58F88749" w14:textId="77777777" w:rsidR="00CC7BB1" w:rsidRDefault="00CC7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E4E76"/>
    <w:multiLevelType w:val="hybridMultilevel"/>
    <w:tmpl w:val="B7F6E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FAA541F"/>
    <w:multiLevelType w:val="hybridMultilevel"/>
    <w:tmpl w:val="BB4E2C9C"/>
    <w:lvl w:ilvl="0" w:tplc="DF72A502">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5"/>
  </w:num>
  <w:num w:numId="9">
    <w:abstractNumId w:val="9"/>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23C"/>
    <w:rsid w:val="00023C40"/>
    <w:rsid w:val="00033397"/>
    <w:rsid w:val="00040095"/>
    <w:rsid w:val="00073C9C"/>
    <w:rsid w:val="00080512"/>
    <w:rsid w:val="00090468"/>
    <w:rsid w:val="00094568"/>
    <w:rsid w:val="000B7BCF"/>
    <w:rsid w:val="000C522B"/>
    <w:rsid w:val="000D58AB"/>
    <w:rsid w:val="000F48BE"/>
    <w:rsid w:val="00112F1A"/>
    <w:rsid w:val="00145075"/>
    <w:rsid w:val="001741A0"/>
    <w:rsid w:val="00175FA0"/>
    <w:rsid w:val="00194CD0"/>
    <w:rsid w:val="001B49C9"/>
    <w:rsid w:val="001C23F4"/>
    <w:rsid w:val="001C4F79"/>
    <w:rsid w:val="001D5138"/>
    <w:rsid w:val="001F168B"/>
    <w:rsid w:val="001F7831"/>
    <w:rsid w:val="00204045"/>
    <w:rsid w:val="00206DA3"/>
    <w:rsid w:val="0020712B"/>
    <w:rsid w:val="0022606D"/>
    <w:rsid w:val="00231728"/>
    <w:rsid w:val="00244A05"/>
    <w:rsid w:val="00250404"/>
    <w:rsid w:val="002610D8"/>
    <w:rsid w:val="002747EC"/>
    <w:rsid w:val="002855BF"/>
    <w:rsid w:val="002E01AF"/>
    <w:rsid w:val="002F0D22"/>
    <w:rsid w:val="00311B17"/>
    <w:rsid w:val="003172DC"/>
    <w:rsid w:val="00325AE3"/>
    <w:rsid w:val="00326069"/>
    <w:rsid w:val="0035462D"/>
    <w:rsid w:val="00357BBC"/>
    <w:rsid w:val="0036459E"/>
    <w:rsid w:val="00364B41"/>
    <w:rsid w:val="00383096"/>
    <w:rsid w:val="0039346C"/>
    <w:rsid w:val="003A41EF"/>
    <w:rsid w:val="003B40AD"/>
    <w:rsid w:val="003C4E37"/>
    <w:rsid w:val="003E16BE"/>
    <w:rsid w:val="003F4E28"/>
    <w:rsid w:val="004006E8"/>
    <w:rsid w:val="00401855"/>
    <w:rsid w:val="00424EC8"/>
    <w:rsid w:val="00465587"/>
    <w:rsid w:val="00477455"/>
    <w:rsid w:val="004A1F7B"/>
    <w:rsid w:val="004C44D2"/>
    <w:rsid w:val="004C70EF"/>
    <w:rsid w:val="004D3578"/>
    <w:rsid w:val="004D380D"/>
    <w:rsid w:val="004E213A"/>
    <w:rsid w:val="004E46C6"/>
    <w:rsid w:val="00503171"/>
    <w:rsid w:val="00506C28"/>
    <w:rsid w:val="00534DA0"/>
    <w:rsid w:val="00536FF3"/>
    <w:rsid w:val="00543E6C"/>
    <w:rsid w:val="00565087"/>
    <w:rsid w:val="0056573F"/>
    <w:rsid w:val="00571279"/>
    <w:rsid w:val="005A49C6"/>
    <w:rsid w:val="005C2837"/>
    <w:rsid w:val="005F16B4"/>
    <w:rsid w:val="00604FF3"/>
    <w:rsid w:val="00611566"/>
    <w:rsid w:val="00646D99"/>
    <w:rsid w:val="00656910"/>
    <w:rsid w:val="006574C0"/>
    <w:rsid w:val="00665BF4"/>
    <w:rsid w:val="006674C8"/>
    <w:rsid w:val="00696821"/>
    <w:rsid w:val="006C66D8"/>
    <w:rsid w:val="006D1E24"/>
    <w:rsid w:val="006D35DE"/>
    <w:rsid w:val="006E1417"/>
    <w:rsid w:val="006F6A2C"/>
    <w:rsid w:val="007069DC"/>
    <w:rsid w:val="00710201"/>
    <w:rsid w:val="0072073A"/>
    <w:rsid w:val="007342B5"/>
    <w:rsid w:val="00734A5B"/>
    <w:rsid w:val="00744E76"/>
    <w:rsid w:val="00753297"/>
    <w:rsid w:val="00757D40"/>
    <w:rsid w:val="007662B5"/>
    <w:rsid w:val="00781F0F"/>
    <w:rsid w:val="00786433"/>
    <w:rsid w:val="0078727C"/>
    <w:rsid w:val="0079049D"/>
    <w:rsid w:val="00793DC5"/>
    <w:rsid w:val="007B18D8"/>
    <w:rsid w:val="007C095F"/>
    <w:rsid w:val="007C2DD0"/>
    <w:rsid w:val="007F2E08"/>
    <w:rsid w:val="008028A4"/>
    <w:rsid w:val="00812A6D"/>
    <w:rsid w:val="00813245"/>
    <w:rsid w:val="00837CCF"/>
    <w:rsid w:val="00840DE0"/>
    <w:rsid w:val="0086354A"/>
    <w:rsid w:val="008768CA"/>
    <w:rsid w:val="00877EF9"/>
    <w:rsid w:val="00880559"/>
    <w:rsid w:val="008968E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9695B"/>
    <w:rsid w:val="009A0AF3"/>
    <w:rsid w:val="009B07CD"/>
    <w:rsid w:val="009C19E9"/>
    <w:rsid w:val="009C1E3C"/>
    <w:rsid w:val="009D74A6"/>
    <w:rsid w:val="009E0E87"/>
    <w:rsid w:val="00A10F02"/>
    <w:rsid w:val="00A204CA"/>
    <w:rsid w:val="00A209D6"/>
    <w:rsid w:val="00A22738"/>
    <w:rsid w:val="00A53724"/>
    <w:rsid w:val="00A54B2B"/>
    <w:rsid w:val="00A82346"/>
    <w:rsid w:val="00A94027"/>
    <w:rsid w:val="00A9671C"/>
    <w:rsid w:val="00AA1553"/>
    <w:rsid w:val="00AF3392"/>
    <w:rsid w:val="00B05380"/>
    <w:rsid w:val="00B05962"/>
    <w:rsid w:val="00B15449"/>
    <w:rsid w:val="00B16C2F"/>
    <w:rsid w:val="00B1766B"/>
    <w:rsid w:val="00B24BB5"/>
    <w:rsid w:val="00B27303"/>
    <w:rsid w:val="00B47FD1"/>
    <w:rsid w:val="00B516BB"/>
    <w:rsid w:val="00B65CC3"/>
    <w:rsid w:val="00B84DB2"/>
    <w:rsid w:val="00BC3555"/>
    <w:rsid w:val="00C12B51"/>
    <w:rsid w:val="00C176FB"/>
    <w:rsid w:val="00C17B3F"/>
    <w:rsid w:val="00C24650"/>
    <w:rsid w:val="00C25465"/>
    <w:rsid w:val="00C33079"/>
    <w:rsid w:val="00C6553E"/>
    <w:rsid w:val="00C81C33"/>
    <w:rsid w:val="00C83A13"/>
    <w:rsid w:val="00C9068C"/>
    <w:rsid w:val="00C92967"/>
    <w:rsid w:val="00CA3D0C"/>
    <w:rsid w:val="00CA654B"/>
    <w:rsid w:val="00CB72B8"/>
    <w:rsid w:val="00CC7BB1"/>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5387"/>
    <w:rsid w:val="00E26BE4"/>
    <w:rsid w:val="00E329A8"/>
    <w:rsid w:val="00E46C08"/>
    <w:rsid w:val="00E471CF"/>
    <w:rsid w:val="00E62835"/>
    <w:rsid w:val="00E77645"/>
    <w:rsid w:val="00E83697"/>
    <w:rsid w:val="00EA66C9"/>
    <w:rsid w:val="00EC4A25"/>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D1EE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1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C33"/>
    <w:pPr>
      <w:ind w:left="720"/>
      <w:contextualSpacing/>
    </w:pPr>
  </w:style>
  <w:style w:type="paragraph" w:customStyle="1" w:styleId="Doc-text2">
    <w:name w:val="Doc-text2"/>
    <w:basedOn w:val="Normal"/>
    <w:link w:val="Doc-text2Char"/>
    <w:qFormat/>
    <w:rsid w:val="00E329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29A8"/>
    <w:rPr>
      <w:rFonts w:ascii="Arial" w:eastAsia="MS Mincho" w:hAnsi="Arial"/>
      <w:szCs w:val="24"/>
    </w:rPr>
  </w:style>
  <w:style w:type="paragraph" w:styleId="Caption">
    <w:name w:val="caption"/>
    <w:basedOn w:val="Normal"/>
    <w:next w:val="Normal"/>
    <w:unhideWhenUsed/>
    <w:qFormat/>
    <w:rsid w:val="009C1E3C"/>
    <w:pPr>
      <w:spacing w:after="200"/>
    </w:pPr>
    <w:rPr>
      <w:i/>
      <w:iCs/>
      <w:color w:val="44546A" w:themeColor="text2"/>
      <w:sz w:val="18"/>
      <w:szCs w:val="18"/>
    </w:rPr>
  </w:style>
  <w:style w:type="character" w:customStyle="1" w:styleId="Heading4Char">
    <w:name w:val="Heading 4 Char"/>
    <w:basedOn w:val="DefaultParagraphFont"/>
    <w:link w:val="Heading4"/>
    <w:rsid w:val="002E01A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0164">
      <w:bodyDiv w:val="1"/>
      <w:marLeft w:val="0"/>
      <w:marRight w:val="0"/>
      <w:marTop w:val="0"/>
      <w:marBottom w:val="0"/>
      <w:divBdr>
        <w:top w:val="none" w:sz="0" w:space="0" w:color="auto"/>
        <w:left w:val="none" w:sz="0" w:space="0" w:color="auto"/>
        <w:bottom w:val="none" w:sz="0" w:space="0" w:color="auto"/>
        <w:right w:val="none" w:sz="0" w:space="0" w:color="auto"/>
      </w:divBdr>
    </w:div>
    <w:div w:id="457459642">
      <w:bodyDiv w:val="1"/>
      <w:marLeft w:val="0"/>
      <w:marRight w:val="0"/>
      <w:marTop w:val="0"/>
      <w:marBottom w:val="0"/>
      <w:divBdr>
        <w:top w:val="none" w:sz="0" w:space="0" w:color="auto"/>
        <w:left w:val="none" w:sz="0" w:space="0" w:color="auto"/>
        <w:bottom w:val="none" w:sz="0" w:space="0" w:color="auto"/>
        <w:right w:val="none" w:sz="0" w:space="0" w:color="auto"/>
      </w:divBdr>
    </w:div>
    <w:div w:id="4956151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442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5AIRPNAIUNRU-859666464-7456</_dlc_DocId>
    <_dlc_DocIdUrl xmlns="71c5aaf6-e6ce-465b-b873-5148d2a4c105">
      <Url>https://nokia.sharepoint.com/sites/c5g/e2earch/_layouts/15/DocIdRedir.aspx?ID=5AIRPNAIUNRU-859666464-7456</Url>
      <Description>5AIRPNAIUNRU-859666464-7456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Pages>
  <Words>1222</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8124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cp:revision>
  <dcterms:created xsi:type="dcterms:W3CDTF">2020-10-07T09:22:00Z</dcterms:created>
  <dcterms:modified xsi:type="dcterms:W3CDTF">2020-10-22T20:01:00Z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ce5c6285-7b05-4951-9f34-2c78eae689e0</vt:lpwstr>
  </property>
</Properties>
</file>